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BF4" w:rsidRDefault="005A2579" w:rsidP="00127BF4">
      <w:pPr>
        <w:pStyle w:val="Heading1"/>
        <w:spacing w:after="0" w:line="24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Supplementary File 3</w:t>
      </w:r>
      <w:r w:rsidR="00127BF4" w:rsidRPr="00EB08AA">
        <w:rPr>
          <w:rFonts w:ascii="Arial" w:hAnsi="Arial" w:cs="Arial"/>
          <w:sz w:val="22"/>
          <w:szCs w:val="22"/>
        </w:rPr>
        <w:t xml:space="preserve"> – Typology of </w:t>
      </w:r>
      <w:r w:rsidR="00127BF4">
        <w:rPr>
          <w:rFonts w:ascii="Arial" w:hAnsi="Arial" w:cs="Arial"/>
          <w:sz w:val="22"/>
          <w:szCs w:val="22"/>
        </w:rPr>
        <w:t>cash-in, cash-out (CICO) r</w:t>
      </w:r>
      <w:r w:rsidR="00127BF4" w:rsidRPr="00EB08AA">
        <w:rPr>
          <w:rFonts w:ascii="Arial" w:hAnsi="Arial" w:cs="Arial"/>
          <w:sz w:val="22"/>
          <w:szCs w:val="22"/>
        </w:rPr>
        <w:t xml:space="preserve">egulatory </w:t>
      </w:r>
      <w:r w:rsidR="00127BF4">
        <w:rPr>
          <w:rFonts w:ascii="Arial" w:hAnsi="Arial" w:cs="Arial"/>
          <w:sz w:val="22"/>
          <w:szCs w:val="22"/>
        </w:rPr>
        <w:t>d</w:t>
      </w:r>
      <w:r w:rsidR="00127BF4" w:rsidRPr="00EB08AA">
        <w:rPr>
          <w:rFonts w:ascii="Arial" w:hAnsi="Arial" w:cs="Arial"/>
          <w:sz w:val="22"/>
          <w:szCs w:val="22"/>
        </w:rPr>
        <w:t xml:space="preserve">ecision </w:t>
      </w:r>
      <w:r w:rsidR="00127BF4">
        <w:rPr>
          <w:rFonts w:ascii="Arial" w:hAnsi="Arial" w:cs="Arial"/>
          <w:sz w:val="22"/>
          <w:szCs w:val="22"/>
        </w:rPr>
        <w:t>o</w:t>
      </w:r>
      <w:r w:rsidR="00127BF4" w:rsidRPr="00EB08AA">
        <w:rPr>
          <w:rFonts w:ascii="Arial" w:hAnsi="Arial" w:cs="Arial"/>
          <w:sz w:val="22"/>
          <w:szCs w:val="22"/>
        </w:rPr>
        <w:t>ptions</w:t>
      </w:r>
      <w:r w:rsidR="00D903F8">
        <w:rPr>
          <w:rFonts w:ascii="Arial" w:hAnsi="Arial" w:cs="Arial"/>
          <w:sz w:val="22"/>
          <w:szCs w:val="22"/>
        </w:rPr>
        <w:t>.</w:t>
      </w:r>
    </w:p>
    <w:p w:rsidR="004346EB" w:rsidRDefault="00127BF4" w:rsidP="004346EB">
      <w:pPr>
        <w:pStyle w:val="Heading1"/>
        <w:spacing w:after="0" w:line="240" w:lineRule="auto"/>
        <w:rPr>
          <w:rFonts w:ascii="Arial" w:hAnsi="Arial" w:cs="Arial"/>
          <w:b w:val="0"/>
          <w:i/>
          <w:iCs/>
          <w:sz w:val="20"/>
        </w:rPr>
      </w:pPr>
      <w:r w:rsidRPr="00EB08AA">
        <w:rPr>
          <w:rFonts w:ascii="Arial" w:hAnsi="Arial" w:cs="Arial"/>
          <w:b w:val="0"/>
          <w:sz w:val="20"/>
        </w:rPr>
        <w:t>This table outlines key decisions that countries can make to regulate CICO</w:t>
      </w:r>
      <w:r>
        <w:rPr>
          <w:rFonts w:ascii="Arial" w:hAnsi="Arial" w:cs="Arial"/>
          <w:b w:val="0"/>
          <w:sz w:val="20"/>
        </w:rPr>
        <w:t xml:space="preserve"> network</w:t>
      </w:r>
      <w:r w:rsidRPr="00EB08AA">
        <w:rPr>
          <w:rFonts w:ascii="Arial" w:hAnsi="Arial" w:cs="Arial"/>
          <w:b w:val="0"/>
          <w:sz w:val="20"/>
        </w:rPr>
        <w:t xml:space="preserve">s and highlights how each focus country has approached these decisions. </w:t>
      </w:r>
      <w:r w:rsidR="005A2579" w:rsidRPr="00EB08AA">
        <w:rPr>
          <w:rFonts w:ascii="Arial" w:hAnsi="Arial" w:cs="Arial"/>
          <w:b w:val="0"/>
          <w:sz w:val="20"/>
        </w:rPr>
        <w:t>Further detail on speci</w:t>
      </w:r>
      <w:r w:rsidR="005A2579">
        <w:rPr>
          <w:rFonts w:ascii="Arial" w:hAnsi="Arial" w:cs="Arial"/>
          <w:b w:val="0"/>
          <w:sz w:val="20"/>
        </w:rPr>
        <w:t xml:space="preserve">fic regulations </w:t>
      </w:r>
      <w:proofErr w:type="gramStart"/>
      <w:r w:rsidR="005A2579">
        <w:rPr>
          <w:rFonts w:ascii="Arial" w:hAnsi="Arial" w:cs="Arial"/>
          <w:b w:val="0"/>
          <w:sz w:val="20"/>
        </w:rPr>
        <w:t>is provided</w:t>
      </w:r>
      <w:proofErr w:type="gramEnd"/>
      <w:r w:rsidR="005A2579">
        <w:rPr>
          <w:rFonts w:ascii="Arial" w:hAnsi="Arial" w:cs="Arial"/>
          <w:b w:val="0"/>
          <w:sz w:val="20"/>
        </w:rPr>
        <w:t xml:space="preserve"> in Supplementary File 2</w:t>
      </w:r>
      <w:r w:rsidR="005A2579" w:rsidRPr="00EB08AA">
        <w:rPr>
          <w:rFonts w:ascii="Arial" w:hAnsi="Arial" w:cs="Arial"/>
          <w:b w:val="0"/>
          <w:sz w:val="20"/>
        </w:rPr>
        <w:t>: </w:t>
      </w:r>
      <w:r w:rsidR="005A2579" w:rsidRPr="00E10549">
        <w:rPr>
          <w:rFonts w:ascii="Arial" w:hAnsi="Arial" w:cs="Arial"/>
          <w:b w:val="0"/>
          <w:sz w:val="20"/>
        </w:rPr>
        <w:t>Coding spreadsheet of cash-in, cash</w:t>
      </w:r>
      <w:r w:rsidR="005A2579">
        <w:rPr>
          <w:rFonts w:ascii="Arial" w:hAnsi="Arial" w:cs="Arial"/>
          <w:b w:val="0"/>
          <w:sz w:val="20"/>
        </w:rPr>
        <w:t>-out (CICO) network regulations.</w:t>
      </w:r>
    </w:p>
    <w:p w:rsidR="004346EB" w:rsidRPr="004346EB" w:rsidRDefault="004346EB" w:rsidP="004346EB">
      <w:pPr>
        <w:spacing w:after="0" w:line="240" w:lineRule="auto"/>
      </w:pPr>
    </w:p>
    <w:p w:rsidR="004346EB" w:rsidRPr="004346EB" w:rsidRDefault="004346EB" w:rsidP="004346EB">
      <w:pPr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4346EB">
        <w:rPr>
          <w:rFonts w:ascii="Arial" w:hAnsi="Arial" w:cs="Arial"/>
          <w:b/>
          <w:sz w:val="22"/>
          <w:szCs w:val="22"/>
        </w:rPr>
        <w:t xml:space="preserve">Table </w:t>
      </w:r>
      <w:r w:rsidR="005A2579">
        <w:rPr>
          <w:rFonts w:ascii="Arial" w:hAnsi="Arial" w:cs="Arial"/>
          <w:b/>
          <w:sz w:val="22"/>
          <w:szCs w:val="22"/>
        </w:rPr>
        <w:t>S3</w:t>
      </w:r>
      <w:r w:rsidRPr="004346EB">
        <w:rPr>
          <w:rFonts w:ascii="Arial" w:hAnsi="Arial" w:cs="Arial"/>
          <w:b/>
          <w:sz w:val="22"/>
          <w:szCs w:val="22"/>
        </w:rPr>
        <w:t>1. Typology of cash-in, cash-out (CICO) regulatory decision options.</w:t>
      </w:r>
    </w:p>
    <w:tbl>
      <w:tblPr>
        <w:tblW w:w="129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2970"/>
        <w:gridCol w:w="4320"/>
        <w:gridCol w:w="3690"/>
      </w:tblGrid>
      <w:tr w:rsidR="00127BF4" w:rsidRPr="00EB08AA" w:rsidTr="00460BDA">
        <w:trPr>
          <w:trHeight w:val="20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2B1D4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4346EB" w:rsidRDefault="00127BF4" w:rsidP="00460BDA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 w:rsidRPr="004346EB">
              <w:rPr>
                <w:rFonts w:ascii="Arial" w:hAnsi="Arial" w:cs="Arial"/>
                <w:b/>
                <w:color w:val="FFFFFF" w:themeColor="background1"/>
                <w:sz w:val="18"/>
              </w:rPr>
              <w:t>Regulatory Question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2B1D4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4346EB" w:rsidRDefault="00127BF4" w:rsidP="00460BDA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 w:rsidRPr="004346EB">
              <w:rPr>
                <w:rFonts w:ascii="Arial" w:hAnsi="Arial" w:cs="Arial"/>
                <w:b/>
                <w:color w:val="FFFFFF" w:themeColor="background1"/>
                <w:sz w:val="18"/>
              </w:rPr>
              <w:t>Regulatory Decision Options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2B1D4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4346EB" w:rsidRDefault="00127BF4" w:rsidP="00460BDA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 w:rsidRPr="004346EB">
              <w:rPr>
                <w:rFonts w:ascii="Arial" w:hAnsi="Arial" w:cs="Arial"/>
                <w:b/>
                <w:color w:val="FFFFFF" w:themeColor="background1"/>
                <w:sz w:val="18"/>
              </w:rPr>
              <w:t>Sub-Options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2B1D4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4346EB" w:rsidRDefault="00127BF4" w:rsidP="00460BDA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18"/>
              </w:rPr>
            </w:pPr>
            <w:r w:rsidRPr="004346EB">
              <w:rPr>
                <w:rFonts w:ascii="Arial" w:hAnsi="Arial" w:cs="Arial"/>
                <w:b/>
                <w:color w:val="FFFFFF" w:themeColor="background1"/>
                <w:sz w:val="18"/>
              </w:rPr>
              <w:t>Countries Pursuing this Option</w:t>
            </w:r>
          </w:p>
        </w:tc>
      </w:tr>
      <w:tr w:rsidR="00127BF4" w:rsidRPr="00EB08AA" w:rsidTr="00460BDA">
        <w:trPr>
          <w:trHeight w:val="565"/>
        </w:trPr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5CA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What are the </w:t>
            </w:r>
            <w:r w:rsidRPr="00EB08AA">
              <w:rPr>
                <w:rFonts w:ascii="Arial" w:hAnsi="Arial" w:cs="Arial"/>
                <w:b/>
                <w:sz w:val="18"/>
              </w:rPr>
              <w:t>KYC requirements</w:t>
            </w:r>
            <w:r w:rsidRPr="00EB08AA">
              <w:rPr>
                <w:rFonts w:ascii="Arial" w:hAnsi="Arial" w:cs="Arial"/>
                <w:sz w:val="18"/>
              </w:rPr>
              <w:t> for mobile money?</w:t>
            </w:r>
          </w:p>
        </w:tc>
        <w:tc>
          <w:tcPr>
            <w:tcW w:w="297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1a. Same KYC requirement as traditional banks</w:t>
            </w:r>
          </w:p>
        </w:tc>
        <w:tc>
          <w:tcPr>
            <w:tcW w:w="4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1ai. For opening accounts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India; Indonesia; Nigeria; Pakistan; Tanzania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1aii. For conducting transactions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India; Kenya; Nigeria; Tanzania; Uganda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97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1b. Less stringent KYC for mobile money accounts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1bi. For opening accounts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India; Indonesia; Nigeria; Pakistan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1bii. For conducting transactions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India; Indonesia; Nigeria</w:t>
            </w:r>
          </w:p>
        </w:tc>
      </w:tr>
      <w:tr w:rsidR="00127BF4" w:rsidRPr="00EB08AA" w:rsidTr="00460BDA">
        <w:trPr>
          <w:trHeight w:val="20"/>
        </w:trPr>
        <w:tc>
          <w:tcPr>
            <w:tcW w:w="197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4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Are there </w:t>
            </w:r>
            <w:r w:rsidRPr="00EB08AA">
              <w:rPr>
                <w:rFonts w:ascii="Arial" w:hAnsi="Arial" w:cs="Arial"/>
                <w:b/>
                <w:sz w:val="18"/>
              </w:rPr>
              <w:t>fees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EB08AA">
              <w:rPr>
                <w:rFonts w:ascii="Arial" w:hAnsi="Arial" w:cs="Arial"/>
                <w:sz w:val="18"/>
              </w:rPr>
              <w:t>included with mobile money?</w:t>
            </w:r>
          </w:p>
        </w:tc>
        <w:tc>
          <w:tcPr>
            <w:tcW w:w="297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2a. Fees originating from financial service provider (bank or non-bank)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2ai. Fees are permitted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India; Kenya; Nigeria; Pakistan; Tanzania; Uganda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2aii. Fees are restricted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Nigeria</w:t>
            </w:r>
          </w:p>
        </w:tc>
      </w:tr>
      <w:tr w:rsidR="00127BF4" w:rsidRPr="00EB08AA" w:rsidTr="00127BF4">
        <w:trPr>
          <w:trHeight w:val="12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97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2b. Additional fees originating from agents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2bi. Fees are permitted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Nigeria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2bii. Fees are restricted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India; Kenya; Nigeria; Tanzania; Uganda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2c. Restrictions on types of fees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Indonesia; Nigeria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2d. Agent compensation (either from fees, commission, or some other revenue-sharing structure)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India; Pakistan; Tanzania; Uganda</w:t>
            </w:r>
          </w:p>
        </w:tc>
      </w:tr>
      <w:tr w:rsidR="00127BF4" w:rsidRPr="00EB08AA" w:rsidTr="00460BDA">
        <w:trPr>
          <w:trHeight w:val="20"/>
        </w:trPr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5CA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Are there (minimum or maximum) </w:t>
            </w:r>
            <w:r w:rsidRPr="00EB08AA">
              <w:rPr>
                <w:rFonts w:ascii="Arial" w:hAnsi="Arial" w:cs="Arial"/>
                <w:b/>
                <w:sz w:val="18"/>
              </w:rPr>
              <w:t>caps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EB08AA">
              <w:rPr>
                <w:rFonts w:ascii="Arial" w:hAnsi="Arial" w:cs="Arial"/>
                <w:sz w:val="18"/>
              </w:rPr>
              <w:t>on mobile money?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3a. Caps on balances held by customers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India; Indonesia; Nigeria; Pakistan; Tanzania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3b. Caps on balances held  by agents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India; Kenya; Nigeria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3c. Caps on transactions completed by customers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India; Kenya; Nigeria; Pakistan; Uganda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3d. Caps on transactions completed by agents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Kenya; Uganda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3e. Caps on other activities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India</w:t>
            </w:r>
          </w:p>
        </w:tc>
      </w:tr>
      <w:tr w:rsidR="00127BF4" w:rsidRPr="00EB08AA" w:rsidTr="00460BDA">
        <w:trPr>
          <w:trHeight w:val="20"/>
        </w:trPr>
        <w:tc>
          <w:tcPr>
            <w:tcW w:w="19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4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Are there regulations about being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EB08AA">
              <w:rPr>
                <w:rFonts w:ascii="Arial" w:hAnsi="Arial" w:cs="Arial"/>
                <w:b/>
                <w:sz w:val="18"/>
              </w:rPr>
              <w:t>interoperable</w:t>
            </w:r>
            <w:r w:rsidRPr="00EB08AA">
              <w:rPr>
                <w:rFonts w:ascii="Arial" w:hAnsi="Arial" w:cs="Arial"/>
                <w:sz w:val="18"/>
              </w:rPr>
              <w:t>?</w:t>
            </w:r>
          </w:p>
        </w:tc>
        <w:tc>
          <w:tcPr>
            <w:tcW w:w="297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4a. Interoperability between multiple mobile money providers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4ai. Is interoperability mandated?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Indonesia; Kenya; Nigeria; Pakistan; Tanzania; Uganda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4aii. Is interoperability encouraged or permitted?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India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97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4b. Interoperability between mobile money providers and banks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4bi. Is interoperability mandated?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Indonesia; Kenya; Nigeria; Pakistan; Tanzania; Uganda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4bii. Is interoperability encouraged or permitted?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India</w:t>
            </w:r>
          </w:p>
        </w:tc>
      </w:tr>
      <w:tr w:rsidR="00127BF4" w:rsidRPr="00EB08AA" w:rsidTr="00460BDA">
        <w:trPr>
          <w:trHeight w:val="20"/>
        </w:trPr>
        <w:tc>
          <w:tcPr>
            <w:tcW w:w="19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C0D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Which entities are able or unable to use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EB08AA">
              <w:rPr>
                <w:rFonts w:ascii="Arial" w:hAnsi="Arial" w:cs="Arial"/>
                <w:b/>
                <w:sz w:val="18"/>
              </w:rPr>
              <w:t>agents</w:t>
            </w:r>
            <w:r w:rsidRPr="00EB08AA">
              <w:rPr>
                <w:rFonts w:ascii="Arial" w:hAnsi="Arial" w:cs="Arial"/>
                <w:sz w:val="18"/>
              </w:rPr>
              <w:t>?</w:t>
            </w:r>
          </w:p>
        </w:tc>
        <w:tc>
          <w:tcPr>
            <w:tcW w:w="297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CCC0D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5a. Banks' use of agents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0D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5ai. Can use agents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0D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India; Indonesia; Kenya; Nigeria; Pakistan; Tanzania; Uganda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0D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5aii. Restrictions on use of agents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0D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Indonesia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97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CCC0D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5b. MNOs/non-banks' use of agents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0D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5bi. Can use agents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0D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Indonesia; Kenya; Nigeria; Tanzania; Uganda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0D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5bii. Restrictions on use of agents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C0D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Nigeria</w:t>
            </w:r>
          </w:p>
        </w:tc>
      </w:tr>
      <w:tr w:rsidR="00127BF4" w:rsidRPr="00EB08AA" w:rsidTr="00460BDA">
        <w:trPr>
          <w:trHeight w:val="20"/>
        </w:trPr>
        <w:tc>
          <w:tcPr>
            <w:tcW w:w="19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4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Are there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EB08AA">
              <w:rPr>
                <w:rFonts w:ascii="Arial" w:hAnsi="Arial" w:cs="Arial"/>
                <w:b/>
                <w:sz w:val="18"/>
              </w:rPr>
              <w:t>reporting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EB08AA">
              <w:rPr>
                <w:rFonts w:ascii="Arial" w:hAnsi="Arial" w:cs="Arial"/>
                <w:sz w:val="18"/>
              </w:rPr>
              <w:t>requirements?</w:t>
            </w:r>
          </w:p>
        </w:tc>
        <w:tc>
          <w:tcPr>
            <w:tcW w:w="297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6a. Reporting requirements for agents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6ai. Locations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Indonesia; Kenya; Nigeria; Pakistan; Tanzania; Uganda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6aii. Characteristics (e.g., gender, rural vs. urban)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Kenya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6aiii. Activities (e.g., transactions, account openings)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India; Indonesia; Kenya; Nigeria; Tanzania; Uganda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6b. Reporting requirements for other CICO</w:t>
            </w:r>
            <w:r>
              <w:rPr>
                <w:rFonts w:ascii="Arial" w:hAnsi="Arial" w:cs="Arial"/>
                <w:sz w:val="18"/>
              </w:rPr>
              <w:t xml:space="preserve"> networks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6bi. Locations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Nigeria</w:t>
            </w:r>
          </w:p>
        </w:tc>
      </w:tr>
      <w:tr w:rsidR="00127BF4" w:rsidRPr="00EB08AA" w:rsidTr="00460BDA">
        <w:trPr>
          <w:trHeight w:val="20"/>
        </w:trPr>
        <w:tc>
          <w:tcPr>
            <w:tcW w:w="19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5CA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Are there requirements for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EB08AA">
              <w:rPr>
                <w:rFonts w:ascii="Arial" w:hAnsi="Arial" w:cs="Arial"/>
                <w:sz w:val="18"/>
              </w:rPr>
              <w:t>who can and cannot be an agent?</w:t>
            </w:r>
          </w:p>
        </w:tc>
        <w:tc>
          <w:tcPr>
            <w:tcW w:w="297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7a. Requirements on who can be an agent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7ai. Requirements that must be met (e.g., business license)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India; Indonesia; Kenya; Nigeria; Pakistan; Tanzania; Uganda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7aii. Types of entities that can be agents (e.g. post offices, etc.)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Kenya; Nigeria; Uganda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7aiii. Dedicated agents (e.g., agents cannot have a side business like a bodega)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India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7b. Requirements on who cannot be an agent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India; Kenya; Nigeria; Tanzania; Uganda</w:t>
            </w:r>
          </w:p>
        </w:tc>
      </w:tr>
      <w:tr w:rsidR="00127BF4" w:rsidRPr="00EB08AA" w:rsidTr="00460BDA">
        <w:trPr>
          <w:trHeight w:val="20"/>
        </w:trPr>
        <w:tc>
          <w:tcPr>
            <w:tcW w:w="19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E4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Are there requirements for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EB08AA">
              <w:rPr>
                <w:rFonts w:ascii="Arial" w:hAnsi="Arial" w:cs="Arial"/>
                <w:b/>
                <w:sz w:val="18"/>
              </w:rPr>
              <w:t>agent exclusivity?</w:t>
            </w:r>
          </w:p>
        </w:tc>
        <w:tc>
          <w:tcPr>
            <w:tcW w:w="297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8a. Agent exclusivity is required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8ai. Of all agents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Indonesia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8aii. Of some agents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India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97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8b. Agent exclusivity is permitted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8bi. Of all agents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Pakistan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8bii. Of some agents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 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97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8c. Agent exclusivity is forbidden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8ci. Of all agents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Kenya; Nigeria; Tanzania; Uganda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8cii. Of some agents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 </w:t>
            </w:r>
          </w:p>
        </w:tc>
      </w:tr>
      <w:tr w:rsidR="00127BF4" w:rsidRPr="00EB08AA" w:rsidTr="00460BDA">
        <w:trPr>
          <w:trHeight w:val="20"/>
        </w:trPr>
        <w:tc>
          <w:tcPr>
            <w:tcW w:w="19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5CA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Are there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EB08AA">
              <w:rPr>
                <w:rFonts w:ascii="Arial" w:hAnsi="Arial" w:cs="Arial"/>
                <w:b/>
                <w:sz w:val="18"/>
              </w:rPr>
              <w:t>functions or services</w:t>
            </w:r>
            <w:r w:rsidRPr="00EB08AA">
              <w:rPr>
                <w:rFonts w:ascii="Arial" w:hAnsi="Arial" w:cs="Arial"/>
                <w:sz w:val="18"/>
              </w:rPr>
              <w:t> that agents must or cannot provide?</w:t>
            </w:r>
          </w:p>
        </w:tc>
        <w:tc>
          <w:tcPr>
            <w:tcW w:w="297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9a. Functions/services that agents must provide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9ai. Requirements on cash/e-float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India; Kenya; Pakistan; Tanzania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9aii. Other functions/services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Nigeria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9b. Functions/services that agents cannot provide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India; Indonesia; Kenya; Nigeria; Pakistan; Tanzania; Uganda</w:t>
            </w:r>
          </w:p>
        </w:tc>
      </w:tr>
      <w:tr w:rsidR="00127BF4" w:rsidRPr="00EB08AA" w:rsidTr="00460BDA">
        <w:trPr>
          <w:trHeight w:val="20"/>
        </w:trPr>
        <w:tc>
          <w:tcPr>
            <w:tcW w:w="19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4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Are there processes to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EB08AA">
              <w:rPr>
                <w:rFonts w:ascii="Arial" w:hAnsi="Arial" w:cs="Arial"/>
                <w:b/>
                <w:sz w:val="18"/>
              </w:rPr>
              <w:t>authenticate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EB08AA">
              <w:rPr>
                <w:rFonts w:ascii="Arial" w:hAnsi="Arial" w:cs="Arial"/>
                <w:sz w:val="18"/>
              </w:rPr>
              <w:t>agents?</w:t>
            </w:r>
          </w:p>
        </w:tc>
        <w:tc>
          <w:tcPr>
            <w:tcW w:w="297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10a. Processes to authenticate agents by banks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10ai. During registration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India; Indonesia; Kenya; Nigeria; Pakistan; Tanzania; Uganda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10aii. Ongoing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India; Indonesia; Kenya; Nigeria; Pakistan; Tanzania; Uganda</w:t>
            </w:r>
          </w:p>
        </w:tc>
      </w:tr>
      <w:tr w:rsidR="00127BF4" w:rsidRPr="00EB08AA" w:rsidTr="00460BDA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10b. Processes to authenticate agents by customers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4DFEC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India; Kenya; Nigeria; Tanzania; Uganda</w:t>
            </w:r>
          </w:p>
        </w:tc>
      </w:tr>
      <w:tr w:rsidR="00127BF4" w:rsidRPr="00EB08AA" w:rsidTr="00460BDA">
        <w:trPr>
          <w:trHeight w:val="2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5CAE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Are there distinctions made about </w:t>
            </w:r>
            <w:r w:rsidRPr="00EB08AA">
              <w:rPr>
                <w:rFonts w:ascii="Arial" w:hAnsi="Arial" w:cs="Arial"/>
                <w:b/>
                <w:sz w:val="18"/>
              </w:rPr>
              <w:t>classes of agents</w:t>
            </w:r>
            <w:r w:rsidRPr="00EB08AA">
              <w:rPr>
                <w:rFonts w:ascii="Arial" w:hAnsi="Arial" w:cs="Arial"/>
                <w:sz w:val="18"/>
              </w:rPr>
              <w:t>?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11. Classes of agents</w:t>
            </w:r>
          </w:p>
        </w:tc>
        <w:tc>
          <w:tcPr>
            <w:tcW w:w="4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 </w:t>
            </w:r>
          </w:p>
        </w:tc>
        <w:tc>
          <w:tcPr>
            <w:tcW w:w="3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5CAE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7BF4" w:rsidRPr="00EB08AA" w:rsidRDefault="00127BF4" w:rsidP="00460BDA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EB08AA">
              <w:rPr>
                <w:rFonts w:ascii="Arial" w:hAnsi="Arial" w:cs="Arial"/>
                <w:sz w:val="18"/>
              </w:rPr>
              <w:t>Bangladesh; India; Nigeria; Pakistan; Tanzania</w:t>
            </w:r>
          </w:p>
        </w:tc>
      </w:tr>
    </w:tbl>
    <w:p w:rsidR="000014DF" w:rsidRDefault="005A2579" w:rsidP="00127BF4"/>
    <w:sectPr w:rsidR="000014DF" w:rsidSect="00127BF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BF4"/>
    <w:rsid w:val="00127BF4"/>
    <w:rsid w:val="004346EB"/>
    <w:rsid w:val="005A2579"/>
    <w:rsid w:val="00CA293C"/>
    <w:rsid w:val="00D903F8"/>
    <w:rsid w:val="00FB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86E29"/>
  <w15:chartTrackingRefBased/>
  <w15:docId w15:val="{7653599F-62CF-418A-8787-60AB2B0F8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BF4"/>
    <w:pPr>
      <w:spacing w:after="200" w:line="480" w:lineRule="auto"/>
      <w:outlineLvl w:val="0"/>
    </w:pPr>
    <w:rPr>
      <w:rFonts w:ascii="Times New Roman" w:eastAsia="Times New Roman" w:hAnsi="Times New Roman" w:cs="Times New Roman"/>
      <w:bCs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7BF4"/>
    <w:rPr>
      <w:b/>
      <w:bCs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7BF4"/>
    <w:rPr>
      <w:rFonts w:ascii="Times New Roman" w:eastAsia="Times New Roman" w:hAnsi="Times New Roman" w:cs="Times New Roman"/>
      <w:b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768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Vermont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 Reynolds</dc:creator>
  <cp:keywords/>
  <dc:description/>
  <cp:lastModifiedBy>Travis Reynolds</cp:lastModifiedBy>
  <cp:revision>2</cp:revision>
  <dcterms:created xsi:type="dcterms:W3CDTF">2018-10-26T16:34:00Z</dcterms:created>
  <dcterms:modified xsi:type="dcterms:W3CDTF">2018-10-26T16:34:00Z</dcterms:modified>
</cp:coreProperties>
</file>